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B248E8">
        <w:rPr>
          <w:rFonts w:ascii="Times New Roman" w:hAnsi="Times New Roman" w:cs="Times New Roman"/>
          <w:b/>
          <w:bCs/>
          <w:sz w:val="24"/>
          <w:szCs w:val="24"/>
        </w:rPr>
        <w:t>черв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ня 202</w:t>
      </w:r>
      <w:r w:rsidR="008A4E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220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220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8A4EB7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B114E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244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237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248E8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E9098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248E8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169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="008A4EB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; за 2021 р</w:t>
      </w:r>
      <w:proofErr w:type="spellStart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proofErr w:type="spellEnd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; за І квартал 2022 року</w:t>
      </w:r>
      <w:r w:rsidR="00B248E8">
        <w:rPr>
          <w:rFonts w:ascii="Times New Roman" w:hAnsi="Times New Roman" w:cs="Times New Roman"/>
          <w:bCs/>
          <w:sz w:val="28"/>
          <w:szCs w:val="28"/>
          <w:u w:val="single"/>
        </w:rPr>
        <w:t>; за І півріччя 2022 року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491234" w:rsidRDefault="00491234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C762D1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територіальних громад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B248E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647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B248E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черв</w:t>
            </w:r>
            <w:r w:rsidR="00F229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</w:t>
            </w:r>
            <w:r w:rsidR="00CE1F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B24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>січень –</w:t>
            </w:r>
            <w:r w:rsidR="00B24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черв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B9000F" w:rsidRPr="003A3AD8" w:rsidTr="00E029C4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B426FA" w:rsidRDefault="00B9000F" w:rsidP="00B9000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4050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B426FA" w:rsidRDefault="00B9000F" w:rsidP="00B9000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050B7" w:rsidRPr="00647759" w:rsidRDefault="004050B7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11F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B426FA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11F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9000F" w:rsidP="00B11F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921A4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94129E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9000F" w:rsidP="00B11F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B426FA" w:rsidRDefault="00B9000F" w:rsidP="00B9000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Pr="00B426FA" w:rsidRDefault="00B9000F" w:rsidP="00B9000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F3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00F" w:rsidRDefault="00B9000F" w:rsidP="00B9000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647759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00F" w:rsidRPr="003A3AD8" w:rsidTr="00E029C4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11F36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B900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000F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3A3AD8" w:rsidRDefault="00B9000F" w:rsidP="00B900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270DDD" w:rsidRDefault="00B9000F" w:rsidP="00B9000F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9B6CA4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B40626" w:rsidRDefault="00B9000F" w:rsidP="00B9000F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0F" w:rsidRPr="00C16774" w:rsidRDefault="00B9000F" w:rsidP="00B9000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A3C59"/>
    <w:rsid w:val="001C62A7"/>
    <w:rsid w:val="001F173C"/>
    <w:rsid w:val="00242D6F"/>
    <w:rsid w:val="00260A6F"/>
    <w:rsid w:val="00260CAD"/>
    <w:rsid w:val="00270DDD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050B7"/>
    <w:rsid w:val="00463EAE"/>
    <w:rsid w:val="00491234"/>
    <w:rsid w:val="004A31E3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6F3C6F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A4EB7"/>
    <w:rsid w:val="008C6110"/>
    <w:rsid w:val="008D0A84"/>
    <w:rsid w:val="009170D8"/>
    <w:rsid w:val="00921A4D"/>
    <w:rsid w:val="009B6CA4"/>
    <w:rsid w:val="009C3001"/>
    <w:rsid w:val="009E01A4"/>
    <w:rsid w:val="00A514E2"/>
    <w:rsid w:val="00A75FBD"/>
    <w:rsid w:val="00AA65B4"/>
    <w:rsid w:val="00B114E3"/>
    <w:rsid w:val="00B11F36"/>
    <w:rsid w:val="00B1534E"/>
    <w:rsid w:val="00B17290"/>
    <w:rsid w:val="00B248E8"/>
    <w:rsid w:val="00B456A0"/>
    <w:rsid w:val="00B65EDA"/>
    <w:rsid w:val="00B9000F"/>
    <w:rsid w:val="00BA131B"/>
    <w:rsid w:val="00BB253B"/>
    <w:rsid w:val="00C01E40"/>
    <w:rsid w:val="00C40F2F"/>
    <w:rsid w:val="00C60EA0"/>
    <w:rsid w:val="00C761A5"/>
    <w:rsid w:val="00C762D1"/>
    <w:rsid w:val="00CC6BB9"/>
    <w:rsid w:val="00CC7D64"/>
    <w:rsid w:val="00CD2A53"/>
    <w:rsid w:val="00CD3349"/>
    <w:rsid w:val="00CE1F5F"/>
    <w:rsid w:val="00CF4406"/>
    <w:rsid w:val="00CF5B2F"/>
    <w:rsid w:val="00D46297"/>
    <w:rsid w:val="00D61621"/>
    <w:rsid w:val="00D9599E"/>
    <w:rsid w:val="00D96F45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E630F"/>
    <w:rsid w:val="00F05293"/>
    <w:rsid w:val="00F229F5"/>
    <w:rsid w:val="00F24129"/>
    <w:rsid w:val="00F27643"/>
    <w:rsid w:val="00F30075"/>
    <w:rsid w:val="00F31BC0"/>
    <w:rsid w:val="00F3762E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AFDC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Пользователь Windows</cp:lastModifiedBy>
  <cp:revision>8</cp:revision>
  <cp:lastPrinted>2018-01-15T06:37:00Z</cp:lastPrinted>
  <dcterms:created xsi:type="dcterms:W3CDTF">2022-08-26T06:08:00Z</dcterms:created>
  <dcterms:modified xsi:type="dcterms:W3CDTF">2022-08-26T07:20:00Z</dcterms:modified>
</cp:coreProperties>
</file>